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D728" w14:textId="77777777" w:rsidR="005C47DE" w:rsidRDefault="009C45F6">
      <w:pPr>
        <w:widowControl/>
        <w:shd w:val="clear" w:color="auto" w:fill="FFFFFF"/>
        <w:spacing w:after="150" w:line="66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bookmarkStart w:id="0" w:name="_Toc334083162"/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lang w:eastAsia="zh-TW"/>
        </w:rPr>
        <w:t>黄河商学院关于课程重修的规定</w:t>
      </w:r>
      <w:bookmarkEnd w:id="0"/>
    </w:p>
    <w:p w14:paraId="595CEBA7" w14:textId="77777777" w:rsidR="005C47DE" w:rsidRDefault="009C45F6">
      <w:pPr>
        <w:widowControl/>
        <w:shd w:val="clear" w:color="auto" w:fill="FFFFFF"/>
        <w:spacing w:after="150" w:line="555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14:paraId="5CC94281" w14:textId="77777777" w:rsidR="005C47DE" w:rsidRDefault="009C45F6" w:rsidP="009C45F6">
      <w:pPr>
        <w:widowControl/>
        <w:shd w:val="clear" w:color="auto" w:fill="FFFFFF"/>
        <w:spacing w:line="555" w:lineRule="atLeast"/>
        <w:ind w:firstLineChars="200" w:firstLine="640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为加强学生课程重修教学活动的组织与管理，根据《河南财经政法大学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MBA培养方案（2022版）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》有关条款，特制定本规定。</w:t>
      </w:r>
    </w:p>
    <w:p w14:paraId="30092ABA" w14:textId="77777777" w:rsidR="005C47DE" w:rsidRDefault="009C45F6" w:rsidP="009C45F6">
      <w:pPr>
        <w:widowControl/>
        <w:shd w:val="clear" w:color="auto" w:fill="FFFFFF"/>
        <w:spacing w:after="150" w:line="555" w:lineRule="atLeast"/>
        <w:ind w:firstLineChars="200" w:firstLine="640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第一章</w:t>
      </w:r>
      <w:r>
        <w:rPr>
          <w:rFonts w:ascii="Calibri" w:eastAsia="黑体" w:hAnsi="Calibri" w:cs="Calibri"/>
          <w:color w:val="333333"/>
          <w:kern w:val="0"/>
          <w:sz w:val="32"/>
          <w:szCs w:val="32"/>
        </w:rPr>
        <w:t>  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重修范围</w:t>
      </w:r>
    </w:p>
    <w:p w14:paraId="6AB8EF92" w14:textId="241A7C4F" w:rsidR="005C47DE" w:rsidRDefault="009C45F6" w:rsidP="009C45F6">
      <w:pPr>
        <w:widowControl/>
        <w:shd w:val="clear" w:color="auto" w:fill="FFFFFF"/>
        <w:spacing w:line="555" w:lineRule="atLeast"/>
        <w:ind w:firstLineChars="200" w:firstLine="640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第一条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学生课程考核成绩不合格或因特殊原因不能按时参加课程考核</w:t>
      </w:r>
      <w:r w:rsidR="00F2637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的需重修</w:t>
      </w:r>
      <w:r w:rsidR="001C1A6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属于必修课程的必须重修，属于选修课程的可以重修或另选。</w:t>
      </w:r>
    </w:p>
    <w:p w14:paraId="10DBE21F" w14:textId="4282C7BB" w:rsidR="005C47DE" w:rsidRDefault="009C45F6" w:rsidP="009C45F6">
      <w:pPr>
        <w:widowControl/>
        <w:shd w:val="clear" w:color="auto" w:fill="FFFFFF"/>
        <w:spacing w:line="555" w:lineRule="atLeast"/>
        <w:ind w:firstLineChars="200" w:firstLine="640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第二条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课程设计、</w:t>
      </w:r>
      <w:r w:rsidR="005E3C8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实践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、毕业设计（论文）等实践性教学环节成绩不合格的，必须重修。</w:t>
      </w:r>
    </w:p>
    <w:p w14:paraId="5E7E85FE" w14:textId="77777777" w:rsidR="005C47DE" w:rsidRDefault="009C45F6" w:rsidP="009C45F6">
      <w:pPr>
        <w:widowControl/>
        <w:shd w:val="clear" w:color="auto" w:fill="FFFFFF"/>
        <w:spacing w:line="555" w:lineRule="atLeast"/>
        <w:ind w:firstLineChars="200" w:firstLine="640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第三条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考核作弊、旷考的课程，必须重修。</w:t>
      </w:r>
    </w:p>
    <w:p w14:paraId="36E74D19" w14:textId="77777777" w:rsidR="005C47DE" w:rsidRDefault="009C45F6" w:rsidP="009C45F6">
      <w:pPr>
        <w:widowControl/>
        <w:shd w:val="clear" w:color="auto" w:fill="FFFFFF"/>
        <w:spacing w:line="555" w:lineRule="atLeast"/>
        <w:ind w:firstLineChars="200" w:firstLine="640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第四条</w:t>
      </w:r>
      <w:r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累计缺课超过该门课程本学期总学时的三分之一，或缺交作业、实验报告达总数的</w:t>
      </w:r>
      <w:bookmarkStart w:id="1" w:name="OLE_LINK12"/>
      <w:r>
        <w:rPr>
          <w:rFonts w:ascii="仿宋_gb2312" w:eastAsia="仿宋_gb2312" w:hAnsi="微软雅黑" w:cs="宋体" w:hint="eastAsia"/>
          <w:color w:val="3B3B3B"/>
          <w:kern w:val="0"/>
          <w:sz w:val="32"/>
          <w:szCs w:val="32"/>
        </w:rPr>
        <w:t>三分之一</w:t>
      </w:r>
      <w:bookmarkEnd w:id="1"/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，或未完成任课教师指定的阅读书目、实验项目、实践课时量，或上课有严重违纪行为的，取消正常考核资格，必须重修。</w:t>
      </w:r>
    </w:p>
    <w:p w14:paraId="62857A2B" w14:textId="77777777" w:rsidR="005C47DE" w:rsidRDefault="009C45F6" w:rsidP="009C45F6">
      <w:pPr>
        <w:widowControl/>
        <w:shd w:val="clear" w:color="auto" w:fill="FFFFFF"/>
        <w:spacing w:line="555" w:lineRule="atLeast"/>
        <w:ind w:firstLineChars="200" w:firstLine="640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第五条</w:t>
      </w:r>
      <w:r>
        <w:rPr>
          <w:rFonts w:ascii="Calibri" w:eastAsia="黑体" w:hAnsi="Calibri" w:cs="Calibri"/>
          <w:color w:val="333333"/>
          <w:kern w:val="0"/>
          <w:sz w:val="32"/>
          <w:szCs w:val="32"/>
        </w:rPr>
        <w:t> 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若学生对已经修读合格的课程成绩不满意，也可以申请重修。</w:t>
      </w:r>
    </w:p>
    <w:p w14:paraId="35ACA567" w14:textId="77777777" w:rsidR="005C47DE" w:rsidRDefault="009C45F6" w:rsidP="009C45F6">
      <w:pPr>
        <w:widowControl/>
        <w:shd w:val="clear" w:color="auto" w:fill="FFFFFF"/>
        <w:spacing w:after="150" w:line="555" w:lineRule="atLeast"/>
        <w:ind w:firstLineChars="200" w:firstLine="640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第二章</w:t>
      </w:r>
      <w:r>
        <w:rPr>
          <w:rFonts w:ascii="Calibri" w:eastAsia="黑体" w:hAnsi="Calibri" w:cs="Calibri"/>
          <w:color w:val="333333"/>
          <w:kern w:val="0"/>
          <w:sz w:val="32"/>
          <w:szCs w:val="32"/>
        </w:rPr>
        <w:t>  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重修的教学管理</w:t>
      </w:r>
    </w:p>
    <w:p w14:paraId="3B523BD5" w14:textId="282BEDB8" w:rsidR="005C47DE" w:rsidRDefault="009C45F6" w:rsidP="009C45F6">
      <w:pPr>
        <w:widowControl/>
        <w:shd w:val="clear" w:color="auto" w:fill="FFFFFF"/>
        <w:spacing w:line="585" w:lineRule="atLeast"/>
        <w:ind w:firstLineChars="200" w:firstLine="640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lastRenderedPageBreak/>
        <w:t>第六条</w:t>
      </w:r>
      <w:r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课程重修原则上不单独组织，由学生本人根据学期课程安排情况，结合自己的实际情况，进行选课并参加相应课程</w:t>
      </w:r>
      <w:r w:rsidR="001C1A6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重修。</w:t>
      </w:r>
    </w:p>
    <w:p w14:paraId="6B6BB465" w14:textId="384B865C" w:rsidR="005C47DE" w:rsidRDefault="009C45F6" w:rsidP="009C45F6">
      <w:pPr>
        <w:widowControl/>
        <w:shd w:val="clear" w:color="auto" w:fill="FFFFFF"/>
        <w:spacing w:line="585" w:lineRule="atLeast"/>
        <w:ind w:firstLineChars="200" w:firstLine="640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第七条</w:t>
      </w:r>
      <w:r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课程重修原则上随下一年级开课计划中所开设的相同课程进行，核心课和学位课只能重修相同课程，选修课程可选择相近课程。</w:t>
      </w:r>
    </w:p>
    <w:p w14:paraId="48581767" w14:textId="155BEF93" w:rsidR="005C47DE" w:rsidRDefault="009C45F6" w:rsidP="009C45F6">
      <w:pPr>
        <w:widowControl/>
        <w:shd w:val="clear" w:color="auto" w:fill="FFFFFF"/>
        <w:spacing w:line="585" w:lineRule="atLeas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第</w:t>
      </w:r>
      <w:r w:rsidR="002B4D4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八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条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重修学生应选择与正常修读课程上课、考核时间不冲突的班次。</w:t>
      </w:r>
    </w:p>
    <w:p w14:paraId="5117F40F" w14:textId="5E8CB65F" w:rsidR="001C1A69" w:rsidRPr="008B48B7" w:rsidRDefault="001C1A69" w:rsidP="009C45F6">
      <w:pPr>
        <w:spacing w:line="240" w:lineRule="atLeast"/>
        <w:ind w:firstLineChars="200" w:firstLine="640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第九条 </w:t>
      </w:r>
      <w:r w:rsidRPr="002B4D4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重修学生需</w:t>
      </w:r>
      <w:r w:rsidR="008B48B7" w:rsidRPr="002B4D4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填写《河南财经政法大学黄河商学院课程重修登记表》（学院网站可下载电子版），并在开课前一周内交至学院教学</w:t>
      </w:r>
      <w:r w:rsidR="002B4D48" w:rsidRPr="002B4D4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办公室。</w:t>
      </w:r>
    </w:p>
    <w:p w14:paraId="7686B902" w14:textId="1A83E5EA" w:rsidR="005C47DE" w:rsidRDefault="009C45F6" w:rsidP="009C45F6">
      <w:pPr>
        <w:widowControl/>
        <w:shd w:val="clear" w:color="auto" w:fill="FFFFFF"/>
        <w:spacing w:line="585" w:lineRule="atLeast"/>
        <w:ind w:firstLineChars="200" w:firstLine="640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第十条</w:t>
      </w:r>
      <w:r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重修课程考核成绩记载在重修学期内，并注明“重修”字样，多次重修的课程按最高成绩记载。</w:t>
      </w:r>
    </w:p>
    <w:p w14:paraId="297485D4" w14:textId="77777777" w:rsidR="005C47DE" w:rsidRDefault="009C45F6" w:rsidP="009C45F6">
      <w:pPr>
        <w:widowControl/>
        <w:shd w:val="clear" w:color="auto" w:fill="FFFFFF"/>
        <w:spacing w:line="585" w:lineRule="atLeast"/>
        <w:ind w:firstLineChars="200" w:firstLine="640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第十一条</w:t>
      </w:r>
      <w:r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未尽事宜以每学期的具体工作通知为准。</w:t>
      </w:r>
    </w:p>
    <w:p w14:paraId="763ED27B" w14:textId="77777777" w:rsidR="005C47DE" w:rsidRDefault="009C45F6" w:rsidP="009C45F6">
      <w:pPr>
        <w:widowControl/>
        <w:shd w:val="clear" w:color="auto" w:fill="FFFFFF"/>
        <w:spacing w:after="150" w:line="585" w:lineRule="atLeast"/>
        <w:ind w:firstLineChars="200" w:firstLine="640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第三章</w:t>
      </w:r>
      <w:r>
        <w:rPr>
          <w:rFonts w:ascii="Calibri" w:eastAsia="黑体" w:hAnsi="Calibri" w:cs="Calibri"/>
          <w:color w:val="333333"/>
          <w:kern w:val="0"/>
          <w:sz w:val="32"/>
          <w:szCs w:val="32"/>
        </w:rPr>
        <w:t>  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 则</w:t>
      </w:r>
    </w:p>
    <w:p w14:paraId="631DA8ED" w14:textId="77777777" w:rsidR="005C47DE" w:rsidRDefault="009C45F6" w:rsidP="009C45F6">
      <w:pPr>
        <w:widowControl/>
        <w:shd w:val="clear" w:color="auto" w:fill="FFFFFF"/>
        <w:spacing w:line="555" w:lineRule="atLeast"/>
        <w:ind w:firstLineChars="200" w:firstLine="640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第十二条</w:t>
      </w:r>
      <w:r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  <w:r>
        <w:rPr>
          <w:rFonts w:ascii="楷体_gb2312" w:eastAsia="楷体_gb2312" w:hAnsi="微软雅黑" w:cs="宋体" w:hint="eastAsia"/>
          <w:b/>
          <w:bCs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本规定由教学办负责解释。</w:t>
      </w:r>
    </w:p>
    <w:p w14:paraId="03E669D6" w14:textId="77777777" w:rsidR="005C47DE" w:rsidRDefault="009C45F6" w:rsidP="009C45F6">
      <w:pPr>
        <w:widowControl/>
        <w:shd w:val="clear" w:color="auto" w:fill="FFFFFF"/>
        <w:spacing w:line="555" w:lineRule="atLeast"/>
        <w:ind w:firstLineChars="200" w:firstLine="640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第十三条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本规定自公布之日起执行。</w:t>
      </w:r>
    </w:p>
    <w:p w14:paraId="3976F323" w14:textId="77777777" w:rsidR="005C47DE" w:rsidRDefault="009C45F6" w:rsidP="009C45F6">
      <w:pPr>
        <w:widowControl/>
        <w:shd w:val="clear" w:color="auto" w:fill="FFFFFF"/>
        <w:spacing w:line="555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14:paraId="235A48A1" w14:textId="77777777" w:rsidR="005C47DE" w:rsidRDefault="009C45F6" w:rsidP="009C45F6">
      <w:pPr>
        <w:widowControl/>
        <w:shd w:val="clear" w:color="auto" w:fill="FFFFFF"/>
        <w:spacing w:line="555" w:lineRule="atLeast"/>
        <w:ind w:firstLineChars="1800" w:firstLine="5760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202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6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20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</w:t>
      </w:r>
    </w:p>
    <w:p w14:paraId="59A103D5" w14:textId="77777777" w:rsidR="005C47DE" w:rsidRDefault="005C47DE"/>
    <w:sectPr w:rsidR="005C4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5D3C" w14:textId="77777777" w:rsidR="00146FE8" w:rsidRDefault="00146FE8" w:rsidP="00F2637D">
      <w:r>
        <w:separator/>
      </w:r>
    </w:p>
  </w:endnote>
  <w:endnote w:type="continuationSeparator" w:id="0">
    <w:p w14:paraId="0258ACA8" w14:textId="77777777" w:rsidR="00146FE8" w:rsidRDefault="00146FE8" w:rsidP="00F2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4CFB" w14:textId="77777777" w:rsidR="00146FE8" w:rsidRDefault="00146FE8" w:rsidP="00F2637D">
      <w:r>
        <w:separator/>
      </w:r>
    </w:p>
  </w:footnote>
  <w:footnote w:type="continuationSeparator" w:id="0">
    <w:p w14:paraId="46A0DC32" w14:textId="77777777" w:rsidR="00146FE8" w:rsidRDefault="00146FE8" w:rsidP="00F26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ZlZDk0NzFmYmViZmFhNDFjNDEwNTRlMTBiZTA3OGYifQ=="/>
  </w:docVars>
  <w:rsids>
    <w:rsidRoot w:val="00EF1D40"/>
    <w:rsid w:val="000828A5"/>
    <w:rsid w:val="00146FE8"/>
    <w:rsid w:val="0019072F"/>
    <w:rsid w:val="001C1A69"/>
    <w:rsid w:val="00202B08"/>
    <w:rsid w:val="002B4D48"/>
    <w:rsid w:val="00493936"/>
    <w:rsid w:val="005C47DE"/>
    <w:rsid w:val="005E3C8D"/>
    <w:rsid w:val="0062597C"/>
    <w:rsid w:val="00725B72"/>
    <w:rsid w:val="008B48B7"/>
    <w:rsid w:val="009C45F6"/>
    <w:rsid w:val="00EF1D40"/>
    <w:rsid w:val="00F2637D"/>
    <w:rsid w:val="7890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9455C"/>
  <w15:docId w15:val="{F202C9AB-AEBC-444E-9526-02A204F9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ody Text Indent"/>
    <w:basedOn w:val="a"/>
    <w:link w:val="a5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a5">
    <w:name w:val="正文文本缩进 字符"/>
    <w:basedOn w:val="a0"/>
    <w:link w:val="a4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F26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2637D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26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263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2022-06-16T01:33:00Z</dcterms:created>
  <dcterms:modified xsi:type="dcterms:W3CDTF">2022-06-16T08:04:00Z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9857150CFD7D42009BA86396AEF9B3D1</vt:lpwstr>
  </property>
</Properties>
</file>